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11794</w:t>
      </w:r>
      <w:bookmarkStart w:id="11" w:name="_GoBack"/>
      <w:bookmarkEnd w:id="11"/>
    </w:p>
    <w:p>
      <w:pPr>
        <w:tabs>
          <w:tab w:val="left" w:pos="3106"/>
          <w:tab w:val="center" w:pos="4536"/>
          <w:tab w:val="right" w:pos="9072"/>
        </w:tabs>
        <w:jc w:val="both"/>
        <w:rPr>
          <w:rFonts w:ascii="Arial" w:hAnsi="Arial" w:cs="Arial"/>
          <w:b/>
          <w:bCs/>
        </w:rPr>
      </w:pPr>
      <w:r>
        <w:rPr>
          <w:rFonts w:hint="eastAsia" w:ascii="Arial" w:hAnsi="Arial" w:cs="Arial"/>
          <w:b/>
          <w:bCs/>
        </w:rPr>
        <w:t>Toulouse, France, Aug 21- Aug 25, 2023</w:t>
      </w:r>
    </w:p>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8.1</w:t>
      </w:r>
      <w:r>
        <w:rPr>
          <w:rFonts w:hint="eastAsia"/>
          <w:sz w:val="22"/>
          <w:lang w:val="en-US" w:eastAsia="zh-CN"/>
        </w:rPr>
        <w:t>3</w:t>
      </w:r>
      <w:r>
        <w:rPr>
          <w:sz w:val="22"/>
        </w:rPr>
        <w:t>.5.1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sz w:val="22"/>
        </w:rPr>
        <w:t xml:space="preserve">Discussion on general </w:t>
      </w:r>
      <w:r>
        <w:rPr>
          <w:rFonts w:hint="eastAsia"/>
          <w:sz w:val="22"/>
          <w:lang w:val="en-US" w:eastAsia="zh-CN"/>
        </w:rPr>
        <w:t xml:space="preserve">issues </w:t>
      </w:r>
      <w:r>
        <w:rPr>
          <w:sz w:val="22"/>
        </w:rPr>
        <w:t>for ATG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 xml:space="preserve">In last meeting, the agreement for channel model </w:t>
      </w:r>
      <w:r>
        <w:rPr>
          <w:rFonts w:hint="eastAsia" w:eastAsia="宋体"/>
          <w:szCs w:val="20"/>
          <w:lang w:val="en-US" w:eastAsia="zh-CN"/>
        </w:rPr>
        <w:t xml:space="preserve">and doppler shift assumption </w:t>
      </w:r>
      <w:r>
        <w:rPr>
          <w:rFonts w:eastAsia="宋体"/>
          <w:szCs w:val="20"/>
          <w:lang w:eastAsia="zh-CN"/>
        </w:rPr>
        <w:t>have been achieved, the WF was approved in [1]. The agreements are as follows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pPr>
              <w:rPr>
                <w:b/>
                <w:i/>
                <w:iCs/>
                <w:sz w:val="20"/>
                <w:szCs w:val="20"/>
                <w:u w:val="single"/>
                <w:lang w:eastAsia="ko-KR"/>
              </w:rPr>
            </w:pPr>
            <w:r>
              <w:rPr>
                <w:b/>
                <w:i/>
                <w:iCs/>
                <w:sz w:val="20"/>
                <w:szCs w:val="20"/>
                <w:u w:val="single"/>
                <w:lang w:eastAsia="ko-KR"/>
              </w:rPr>
              <w:t>Issue 1-1: Channel model:</w:t>
            </w:r>
          </w:p>
          <w:p>
            <w:pPr>
              <w:rPr>
                <w:rFonts w:eastAsiaTheme="minorEastAsia"/>
                <w:b/>
                <w:i/>
                <w:iCs/>
                <w:sz w:val="20"/>
                <w:szCs w:val="20"/>
              </w:rPr>
            </w:pPr>
            <w:r>
              <w:rPr>
                <w:rFonts w:hint="eastAsia"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Only consider single path AWGN channel with Doppler for ATG incremental requirements</w:t>
            </w:r>
          </w:p>
          <w:p>
            <w:pPr>
              <w:rPr>
                <w:b/>
                <w:i/>
                <w:iCs/>
                <w:sz w:val="20"/>
                <w:szCs w:val="20"/>
                <w:u w:val="single"/>
                <w:lang w:eastAsia="ko-KR"/>
              </w:rPr>
            </w:pPr>
            <w:r>
              <w:rPr>
                <w:b/>
                <w:i/>
                <w:iCs/>
                <w:sz w:val="20"/>
                <w:szCs w:val="20"/>
                <w:u w:val="single"/>
                <w:lang w:eastAsia="ko-KR"/>
              </w:rPr>
              <w:t>Issue 1-2: Doppler shift assumption:</w:t>
            </w:r>
          </w:p>
          <w:p>
            <w:pPr>
              <w:spacing w:after="60"/>
              <w:rPr>
                <w:rFonts w:eastAsiaTheme="minorEastAsia"/>
                <w:b/>
                <w:i/>
                <w:iCs/>
                <w:sz w:val="20"/>
                <w:szCs w:val="20"/>
              </w:rPr>
            </w:pPr>
            <w:r>
              <w:rPr>
                <w:rFonts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For FDD: Set Doppler as 200Hz for UL, 220Hz for DL</w:t>
            </w:r>
          </w:p>
          <w:p>
            <w:pPr>
              <w:numPr>
                <w:ilvl w:val="0"/>
                <w:numId w:val="4"/>
              </w:numPr>
              <w:spacing w:after="120"/>
              <w:rPr>
                <w:rFonts w:eastAsia="宋体"/>
                <w:sz w:val="21"/>
                <w:szCs w:val="21"/>
              </w:rPr>
            </w:pPr>
            <w:r>
              <w:rPr>
                <w:rFonts w:eastAsia="宋体"/>
                <w:i/>
                <w:iCs/>
                <w:sz w:val="20"/>
                <w:lang w:val="en-GB"/>
              </w:rPr>
              <w:t>For TDD: Set Doppler as 500Hz</w:t>
            </w:r>
          </w:p>
        </w:tc>
      </w:tr>
    </w:tbl>
    <w:p>
      <w:pPr>
        <w:pStyle w:val="13"/>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eastAsia="zh-CN"/>
        </w:rPr>
        <w:t xml:space="preserve">In this meeting, we further </w:t>
      </w:r>
      <w:r>
        <w:rPr>
          <w:rFonts w:hint="eastAsia" w:eastAsia="宋体"/>
          <w:szCs w:val="20"/>
          <w:lang w:val="en-US" w:eastAsia="zh-CN"/>
        </w:rPr>
        <w:t>discuss the impact of new TDD pattern for UE and BS demodulation requirements and specification impact.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Discussion</w:t>
      </w:r>
    </w:p>
    <w:p>
      <w:pPr>
        <w:spacing w:after="60"/>
        <w:rPr>
          <w:b/>
          <w:i/>
          <w:iCs/>
          <w:sz w:val="20"/>
          <w:szCs w:val="20"/>
          <w:u w:val="single"/>
          <w:lang w:eastAsia="ko-KR"/>
        </w:rPr>
      </w:pPr>
      <w:r>
        <w:rPr>
          <w:b/>
          <w:i/>
          <w:iCs/>
          <w:sz w:val="20"/>
          <w:szCs w:val="20"/>
          <w:u w:val="single"/>
          <w:lang w:eastAsia="ko-KR"/>
        </w:rPr>
        <w:t>Issue 1-3: TDD pattern</w:t>
      </w:r>
    </w:p>
    <w:p>
      <w:pPr>
        <w:autoSpaceDN w:val="0"/>
        <w:spacing w:after="60"/>
        <w:rPr>
          <w:rFonts w:eastAsia="宋体"/>
          <w:b/>
          <w:bCs/>
          <w:i/>
          <w:iCs/>
          <w:sz w:val="20"/>
          <w:szCs w:val="20"/>
        </w:rPr>
      </w:pPr>
      <w:r>
        <w:rPr>
          <w:rFonts w:hint="eastAsia" w:eastAsia="宋体"/>
          <w:b/>
          <w:bCs/>
          <w:i/>
          <w:iCs/>
          <w:sz w:val="20"/>
          <w:szCs w:val="20"/>
        </w:rPr>
        <w:t>Agreement:</w:t>
      </w:r>
    </w:p>
    <w:p>
      <w:pPr>
        <w:numPr>
          <w:ilvl w:val="0"/>
          <w:numId w:val="4"/>
        </w:numPr>
        <w:spacing w:after="120"/>
        <w:rPr>
          <w:rFonts w:eastAsia="宋体"/>
          <w:i/>
          <w:iCs/>
          <w:sz w:val="20"/>
          <w:lang w:val="en-GB"/>
        </w:rPr>
      </w:pPr>
      <w:r>
        <w:rPr>
          <w:rFonts w:eastAsia="宋体"/>
          <w:i/>
          <w:iCs/>
          <w:sz w:val="20"/>
          <w:lang w:val="en-GB"/>
        </w:rPr>
        <w:t>New TDD pattern together with the features ‘Increasing the number of HARQ processes’ and ‘K1 range extension’ can be considered as one of possible solution to mitigate the guard period impact for Rel-18 ATG scenario.</w:t>
      </w:r>
    </w:p>
    <w:p>
      <w:pPr>
        <w:numPr>
          <w:ilvl w:val="0"/>
          <w:numId w:val="4"/>
        </w:numPr>
        <w:spacing w:after="120"/>
        <w:rPr>
          <w:rFonts w:eastAsia="宋体"/>
          <w:i/>
          <w:iCs/>
          <w:sz w:val="20"/>
          <w:lang w:val="en-GB"/>
        </w:rPr>
      </w:pPr>
      <w:r>
        <w:rPr>
          <w:rFonts w:eastAsia="宋体"/>
          <w:i/>
          <w:iCs/>
          <w:sz w:val="20"/>
          <w:lang w:val="en-GB"/>
        </w:rPr>
        <w:t>Other solutions not precluded including the UE specific TA reporting as adopted in RRM</w:t>
      </w:r>
    </w:p>
    <w:p>
      <w:pPr>
        <w:numPr>
          <w:ilvl w:val="0"/>
          <w:numId w:val="4"/>
        </w:numPr>
        <w:spacing w:after="120"/>
        <w:rPr>
          <w:rFonts w:eastAsia="宋体"/>
          <w:i/>
          <w:iCs/>
          <w:sz w:val="20"/>
          <w:lang w:val="en-GB"/>
        </w:rPr>
      </w:pPr>
      <w:r>
        <w:rPr>
          <w:rFonts w:eastAsia="宋体"/>
          <w:i/>
          <w:iCs/>
          <w:sz w:val="20"/>
          <w:lang w:val="en-GB"/>
        </w:rPr>
        <w:t xml:space="preserve">For UE demodulation: </w:t>
      </w:r>
    </w:p>
    <w:p>
      <w:pPr>
        <w:numPr>
          <w:ilvl w:val="1"/>
          <w:numId w:val="4"/>
        </w:numPr>
        <w:spacing w:after="120"/>
        <w:rPr>
          <w:rFonts w:eastAsia="宋体"/>
          <w:i/>
          <w:iCs/>
          <w:sz w:val="20"/>
          <w:lang w:val="en-GB"/>
        </w:rPr>
      </w:pPr>
      <w:r>
        <w:rPr>
          <w:rFonts w:eastAsia="宋体"/>
          <w:i/>
          <w:iCs/>
          <w:sz w:val="20"/>
          <w:lang w:val="en-GB"/>
        </w:rPr>
        <w:t>New UE demodulation requirement can be specified for the static TDD pattern (if introduced)</w:t>
      </w:r>
    </w:p>
    <w:p>
      <w:pPr>
        <w:numPr>
          <w:ilvl w:val="2"/>
          <w:numId w:val="4"/>
        </w:numPr>
        <w:spacing w:after="120"/>
        <w:rPr>
          <w:rFonts w:eastAsia="宋体"/>
          <w:i/>
          <w:iCs/>
          <w:sz w:val="20"/>
          <w:lang w:val="en-GB"/>
        </w:rPr>
      </w:pPr>
      <w:r>
        <w:rPr>
          <w:rFonts w:eastAsia="宋体"/>
          <w:i/>
          <w:iCs/>
          <w:sz w:val="20"/>
          <w:lang w:val="en-GB"/>
        </w:rPr>
        <w:t>FFS on exact test case(s) which may be configured with new TDD pattern.</w:t>
      </w:r>
    </w:p>
    <w:p>
      <w:pPr>
        <w:numPr>
          <w:ilvl w:val="2"/>
          <w:numId w:val="4"/>
        </w:numPr>
        <w:spacing w:after="120"/>
        <w:rPr>
          <w:rFonts w:eastAsia="宋体"/>
          <w:i/>
          <w:iCs/>
          <w:sz w:val="20"/>
          <w:lang w:val="en-GB"/>
        </w:rPr>
      </w:pPr>
      <w:r>
        <w:rPr>
          <w:rFonts w:eastAsia="宋体"/>
          <w:i/>
          <w:iCs/>
          <w:sz w:val="20"/>
          <w:lang w:val="en-GB"/>
        </w:rPr>
        <w:t>FFS on test applicability rules.</w:t>
      </w:r>
    </w:p>
    <w:p>
      <w:pPr>
        <w:numPr>
          <w:ilvl w:val="1"/>
          <w:numId w:val="4"/>
        </w:numPr>
        <w:spacing w:after="120"/>
        <w:rPr>
          <w:rFonts w:eastAsia="宋体"/>
          <w:i/>
          <w:iCs/>
          <w:sz w:val="20"/>
          <w:lang w:val="en-GB"/>
        </w:rPr>
      </w:pPr>
      <w:r>
        <w:rPr>
          <w:rFonts w:eastAsia="宋体"/>
          <w:i/>
          <w:iCs/>
          <w:sz w:val="20"/>
          <w:lang w:val="en-GB"/>
        </w:rPr>
        <w:t>FFS on the impact of UE demodulation for all candidate options</w:t>
      </w:r>
    </w:p>
    <w:p>
      <w:pPr>
        <w:numPr>
          <w:ilvl w:val="0"/>
          <w:numId w:val="4"/>
        </w:numPr>
        <w:spacing w:after="120"/>
        <w:rPr>
          <w:rFonts w:eastAsia="宋体"/>
          <w:i/>
          <w:iCs/>
          <w:sz w:val="20"/>
          <w:lang w:val="en-GB"/>
        </w:rPr>
      </w:pPr>
      <w:r>
        <w:rPr>
          <w:rFonts w:eastAsia="宋体"/>
          <w:i/>
          <w:iCs/>
          <w:sz w:val="20"/>
          <w:lang w:val="en-GB"/>
        </w:rPr>
        <w:t xml:space="preserve">For BS demodulation: Further discuss test applicability rules and impact with new TDD pattern. </w:t>
      </w:r>
    </w:p>
    <w:p>
      <w:pPr>
        <w:spacing w:before="60"/>
        <w:jc w:val="both"/>
        <w:rPr>
          <w:rFonts w:hint="default"/>
          <w:sz w:val="20"/>
          <w:szCs w:val="20"/>
          <w:lang w:val="en-US" w:eastAsia="zh-CN"/>
        </w:rPr>
      </w:pPr>
      <w:r>
        <w:rPr>
          <w:rFonts w:hint="eastAsia"/>
          <w:sz w:val="20"/>
          <w:szCs w:val="20"/>
          <w:lang w:val="en-US" w:eastAsia="zh-CN"/>
        </w:rPr>
        <w:t xml:space="preserve">For ATG UE demodulation requirements, if RAN1 confirms that the features </w:t>
      </w:r>
      <w:r>
        <w:rPr>
          <w:rFonts w:hint="eastAsia"/>
          <w:sz w:val="20"/>
          <w:szCs w:val="20"/>
          <w:lang w:val="en-GB"/>
        </w:rPr>
        <w:t>‘Increasing the number of HARQ processes’ and ‘K1 range extension’</w:t>
      </w:r>
      <w:r>
        <w:rPr>
          <w:rFonts w:hint="eastAsia"/>
          <w:sz w:val="20"/>
          <w:szCs w:val="20"/>
          <w:lang w:val="en-US" w:eastAsia="zh-CN"/>
        </w:rPr>
        <w:t xml:space="preserve"> could be introduced, then new incremental test cases should be introduced with new TDD pattern, which including following test cases as we proposed in our series paper [2]</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lang w:eastAsia="en-US"/>
              </w:rPr>
            </w:pPr>
            <w:r>
              <w:rPr>
                <w:rFonts w:eastAsia="Yu Mincho"/>
                <w:bCs/>
                <w:sz w:val="20"/>
                <w:szCs w:val="20"/>
                <w:u w:val="single"/>
              </w:rPr>
              <w:t>TDD</w:t>
            </w:r>
          </w:p>
          <w:p>
            <w:pPr>
              <w:jc w:val="center"/>
              <w:textAlignment w:val="baseline"/>
              <w:rPr>
                <w:rFonts w:eastAsia="Yu Mincho"/>
                <w:bCs/>
                <w:sz w:val="20"/>
                <w:szCs w:val="20"/>
                <w:u w:val="single"/>
              </w:rPr>
            </w:pPr>
            <w:r>
              <w:rPr>
                <w:rFonts w:hint="eastAsia" w:eastAsiaTheme="minorEastAsia"/>
                <w:bCs/>
                <w:sz w:val="20"/>
                <w:szCs w:val="20"/>
                <w:u w:val="single"/>
              </w:rPr>
              <w:t>40</w:t>
            </w:r>
            <w:r>
              <w:rPr>
                <w:rFonts w:eastAsia="Yu Mincho"/>
                <w:bCs/>
                <w:sz w:val="20"/>
                <w:szCs w:val="20"/>
                <w:u w:val="single"/>
              </w:rPr>
              <w:t>MHz 30kHz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hint="eastAsia" w:eastAsiaTheme="minorEastAsia"/>
                <w:bCs/>
                <w:sz w:val="20"/>
                <w:szCs w:val="20"/>
                <w:u w:val="single"/>
              </w:rPr>
              <w:t xml:space="preserve">new TDD pattern: </w:t>
            </w:r>
            <w:r>
              <w:rPr>
                <w:rFonts w:eastAsia="Yu Mincho"/>
                <w:bCs/>
                <w:sz w:val="20"/>
                <w:szCs w:val="20"/>
                <w:u w:val="singl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[24] in table 2)</w:t>
            </w:r>
          </w:p>
        </w:tc>
      </w:tr>
    </w:tbl>
    <w:p>
      <w:pPr>
        <w:spacing w:before="60"/>
        <w:jc w:val="both"/>
        <w:rPr>
          <w:rFonts w:hint="eastAsia"/>
          <w:sz w:val="20"/>
          <w:szCs w:val="20"/>
          <w:lang w:val="en-US" w:eastAsia="zh-CN"/>
        </w:rPr>
      </w:pPr>
      <w:r>
        <w:rPr>
          <w:rFonts w:hint="eastAsia"/>
          <w:sz w:val="20"/>
          <w:szCs w:val="20"/>
          <w:lang w:val="en-US" w:eastAsia="zh-CN"/>
        </w:rPr>
        <w:t xml:space="preserve">In order to reduce the test effort, we are fine to introduce the test applicability rule between TDD patterns. For ATG UE support the features </w:t>
      </w:r>
      <w:r>
        <w:rPr>
          <w:rFonts w:hint="eastAsia"/>
          <w:sz w:val="20"/>
          <w:szCs w:val="20"/>
          <w:lang w:val="en-GB"/>
        </w:rPr>
        <w:t>‘Increasing the number of HARQ processes’ and ‘K1 range extension’</w:t>
      </w:r>
      <w:r>
        <w:rPr>
          <w:rFonts w:hint="eastAsia"/>
          <w:sz w:val="20"/>
          <w:szCs w:val="20"/>
          <w:lang w:val="en-US" w:eastAsia="zh-CN"/>
        </w:rPr>
        <w:t>,  if UE has passed the test cases with new TDD pattern, UE is allowed to skip the corresponding test cases with legacy TDD pattern.</w:t>
      </w:r>
    </w:p>
    <w:p>
      <w:pPr>
        <w:spacing w:before="60"/>
        <w:jc w:val="both"/>
        <w:rPr>
          <w:rFonts w:hint="default"/>
          <w:b/>
          <w:bCs/>
          <w:i/>
          <w:iCs/>
          <w:sz w:val="20"/>
          <w:szCs w:val="20"/>
          <w:lang w:val="en-US" w:eastAsia="zh-CN"/>
        </w:rPr>
      </w:pPr>
      <w:r>
        <w:rPr>
          <w:rFonts w:hint="eastAsia"/>
          <w:b/>
          <w:bCs/>
          <w:i/>
          <w:iCs/>
          <w:sz w:val="20"/>
          <w:szCs w:val="20"/>
          <w:lang w:val="en-US" w:eastAsia="zh-CN"/>
        </w:rPr>
        <w:t>Proposal 1: For ATG UE demodulation requirements, if UE has passed the test cases with new TDD pattern, UE is allowed to skip the corresponding test cases with legacy TDD pattern.</w:t>
      </w:r>
    </w:p>
    <w:p>
      <w:pPr>
        <w:spacing w:before="60"/>
        <w:jc w:val="both"/>
        <w:rPr>
          <w:rFonts w:eastAsia="宋体"/>
          <w:b w:val="0"/>
          <w:bCs/>
          <w:i w:val="0"/>
          <w:iCs w:val="0"/>
          <w:sz w:val="20"/>
          <w:u w:val="none"/>
          <w:lang w:val="en-GB"/>
        </w:rPr>
      </w:pPr>
      <w:r>
        <w:rPr>
          <w:rFonts w:hint="eastAsia"/>
          <w:sz w:val="20"/>
          <w:szCs w:val="20"/>
          <w:lang w:val="en-US" w:eastAsia="zh-CN"/>
        </w:rPr>
        <w:t>For ATG BS demodulation requirements, new TDD pattern should also be introduced for 30kHz SCS. The new incremental TDD test cases are as following:</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lang w:eastAsia="en-US"/>
              </w:rPr>
            </w:pPr>
            <w:r>
              <w:rPr>
                <w:rFonts w:eastAsia="Yu Mincho"/>
                <w:b w:val="0"/>
                <w:bCs/>
                <w:i w:val="0"/>
                <w:iCs w:val="0"/>
                <w:sz w:val="20"/>
                <w:szCs w:val="20"/>
                <w:u w:val="none"/>
              </w:rPr>
              <w:t>TDD</w:t>
            </w:r>
          </w:p>
          <w:p>
            <w:pPr>
              <w:jc w:val="center"/>
              <w:textAlignment w:val="baseline"/>
              <w:rPr>
                <w:rFonts w:eastAsia="Yu Mincho"/>
                <w:b w:val="0"/>
                <w:bCs/>
                <w:i w:val="0"/>
                <w:iCs w:val="0"/>
                <w:sz w:val="20"/>
                <w:szCs w:val="20"/>
                <w:u w:val="none"/>
              </w:rPr>
            </w:pPr>
            <w:r>
              <w:rPr>
                <w:rFonts w:hint="eastAsia"/>
                <w:b w:val="0"/>
                <w:bCs/>
                <w:i w:val="0"/>
                <w:iCs w:val="0"/>
                <w:sz w:val="20"/>
                <w:szCs w:val="20"/>
                <w:u w:val="none"/>
                <w:lang w:val="en-US" w:eastAsia="zh-CN"/>
              </w:rPr>
              <w:t>10</w:t>
            </w:r>
            <w:r>
              <w:rPr>
                <w:rFonts w:eastAsia="Yu Mincho"/>
                <w:b w:val="0"/>
                <w:bCs/>
                <w:i w:val="0"/>
                <w:iCs w:val="0"/>
                <w:sz w:val="20"/>
                <w:szCs w:val="20"/>
                <w:u w:val="none"/>
              </w:rPr>
              <w:t>MHz 30kHz SCS</w:t>
            </w:r>
          </w:p>
          <w:p>
            <w:pPr>
              <w:jc w:val="center"/>
              <w:textAlignment w:val="baseline"/>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rPr>
            </w:pPr>
            <w:r>
              <w:rPr>
                <w:rFonts w:eastAsia="Yu Mincho"/>
                <w:b w:val="0"/>
                <w:bCs/>
                <w:i w:val="0"/>
                <w:iCs w:val="0"/>
                <w:sz w:val="20"/>
                <w:szCs w:val="20"/>
                <w:u w:val="none"/>
              </w:rPr>
              <w:t>7D1S2U</w:t>
            </w:r>
          </w:p>
          <w:p>
            <w:pPr>
              <w:jc w:val="center"/>
              <w:textAlignment w:val="baseline"/>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&amp;</w:t>
            </w:r>
          </w:p>
          <w:p>
            <w:pPr>
              <w:jc w:val="center"/>
              <w:textAlignment w:val="baseline"/>
              <w:rPr>
                <w:rFonts w:eastAsia="Yu Mincho"/>
                <w:b w:val="0"/>
                <w:bCs/>
                <w:i w:val="0"/>
                <w:iCs w:val="0"/>
                <w:sz w:val="20"/>
                <w:szCs w:val="20"/>
                <w:u w:val="none"/>
              </w:rPr>
            </w:pPr>
            <w:r>
              <w:rPr>
                <w:rFonts w:hint="eastAsia" w:eastAsiaTheme="minorEastAsia"/>
                <w:b w:val="0"/>
                <w:bCs/>
                <w:i w:val="0"/>
                <w:iCs w:val="0"/>
                <w:sz w:val="20"/>
                <w:szCs w:val="20"/>
                <w:u w:val="none"/>
              </w:rPr>
              <w:t xml:space="preserve">FFS on new TDD pattern: </w:t>
            </w:r>
            <w:r>
              <w:rPr>
                <w:rFonts w:eastAsia="Yu Mincho"/>
                <w:b w:val="0"/>
                <w:bCs/>
                <w:i w:val="0"/>
                <w:iCs w:val="0"/>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rPr>
            </w:pPr>
            <w:r>
              <w:rPr>
                <w:rFonts w:hint="eastAsia" w:eastAsia="宋体"/>
                <w:b w:val="0"/>
                <w:bCs/>
                <w:i w:val="0"/>
                <w:iCs w:val="0"/>
                <w:sz w:val="20"/>
                <w:szCs w:val="20"/>
                <w:u w:val="none"/>
                <w:lang w:val="en-US" w:eastAsia="zh-CN"/>
              </w:rPr>
              <w:t>1</w:t>
            </w:r>
            <w:r>
              <w:rPr>
                <w:rFonts w:eastAsia="Yu Mincho"/>
                <w:b w:val="0"/>
                <w:bCs/>
                <w:i w:val="0"/>
                <w:iCs w:val="0"/>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rPr>
            </w:pPr>
            <w:r>
              <w:rPr>
                <w:rFonts w:eastAsia="Yu Mincho"/>
                <w:b w:val="0"/>
                <w:bCs/>
                <w:i w:val="0"/>
                <w:iCs w:val="0"/>
                <w:sz w:val="20"/>
                <w:szCs w:val="20"/>
                <w:u w:val="none"/>
              </w:rPr>
              <w:t>16QAM (MCS [1</w:t>
            </w:r>
            <w:r>
              <w:rPr>
                <w:rFonts w:hint="eastAsia" w:eastAsia="宋体"/>
                <w:b w:val="0"/>
                <w:bCs/>
                <w:i w:val="0"/>
                <w:iCs w:val="0"/>
                <w:sz w:val="20"/>
                <w:szCs w:val="20"/>
                <w:u w:val="none"/>
                <w:lang w:val="en-US" w:eastAsia="zh-CN"/>
              </w:rPr>
              <w:t>6</w:t>
            </w:r>
            <w:r>
              <w:rPr>
                <w:rFonts w:eastAsia="Yu Mincho"/>
                <w:b w:val="0"/>
                <w:bCs/>
                <w:i w:val="0"/>
                <w:iCs w:val="0"/>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rPr>
            </w:pPr>
            <w:r>
              <w:rPr>
                <w:rFonts w:eastAsia="Yu Mincho"/>
                <w:b w:val="0"/>
                <w:bCs/>
                <w:i w:val="0"/>
                <w:iCs w:val="0"/>
                <w:sz w:val="20"/>
                <w:szCs w:val="20"/>
                <w:u w:val="none"/>
              </w:rPr>
              <w:t>64QAM (MCS [2</w:t>
            </w:r>
            <w:r>
              <w:rPr>
                <w:rFonts w:hint="eastAsia" w:eastAsia="宋体"/>
                <w:b w:val="0"/>
                <w:bCs/>
                <w:i w:val="0"/>
                <w:iCs w:val="0"/>
                <w:sz w:val="20"/>
                <w:szCs w:val="20"/>
                <w:u w:val="none"/>
                <w:lang w:val="en-US" w:eastAsia="zh-CN"/>
              </w:rPr>
              <w:t>8</w:t>
            </w:r>
            <w:r>
              <w:rPr>
                <w:rFonts w:eastAsia="Yu Mincho"/>
                <w:b w:val="0"/>
                <w:bCs/>
                <w:i w:val="0"/>
                <w:iCs w:val="0"/>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val="0"/>
                <w:bCs/>
                <w:i w:val="0"/>
                <w:iCs w:val="0"/>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val="0"/>
                <w:bCs/>
                <w:i w:val="0"/>
                <w:iCs w:val="0"/>
                <w:sz w:val="20"/>
                <w:szCs w:val="20"/>
                <w:u w:val="none"/>
              </w:rPr>
            </w:pPr>
            <w:r>
              <w:rPr>
                <w:rFonts w:eastAsia="Yu Mincho"/>
                <w:b w:val="0"/>
                <w:bCs/>
                <w:i w:val="0"/>
                <w:iCs w:val="0"/>
                <w:sz w:val="20"/>
                <w:szCs w:val="20"/>
                <w:u w:val="none"/>
              </w:rPr>
              <w:t>256QAM (MCS [2</w:t>
            </w:r>
            <w:r>
              <w:rPr>
                <w:rFonts w:hint="eastAsia" w:eastAsia="宋体"/>
                <w:b w:val="0"/>
                <w:bCs/>
                <w:i w:val="0"/>
                <w:iCs w:val="0"/>
                <w:sz w:val="20"/>
                <w:szCs w:val="20"/>
                <w:u w:val="none"/>
                <w:lang w:val="en-US" w:eastAsia="zh-CN"/>
              </w:rPr>
              <w:t>2</w:t>
            </w:r>
            <w:r>
              <w:rPr>
                <w:rFonts w:eastAsia="Yu Mincho"/>
                <w:b w:val="0"/>
                <w:bCs/>
                <w:i w:val="0"/>
                <w:iCs w:val="0"/>
                <w:sz w:val="20"/>
                <w:szCs w:val="20"/>
                <w:u w:val="none"/>
              </w:rPr>
              <w:t>] in table 2)</w:t>
            </w:r>
          </w:p>
        </w:tc>
      </w:tr>
    </w:tbl>
    <w:p>
      <w:pPr>
        <w:spacing w:before="60"/>
        <w:jc w:val="both"/>
        <w:rPr>
          <w:rFonts w:hint="eastAsia"/>
          <w:sz w:val="20"/>
          <w:szCs w:val="20"/>
          <w:lang w:val="en-US" w:eastAsia="zh-CN"/>
        </w:rPr>
      </w:pPr>
      <w:r>
        <w:rPr>
          <w:rFonts w:hint="eastAsia"/>
          <w:sz w:val="20"/>
          <w:szCs w:val="20"/>
          <w:lang w:val="en-US" w:eastAsia="zh-CN"/>
        </w:rPr>
        <w:t>In order to reduce the test effort, we are fine to introduce the test applicability rule between TDD patterns. For BS supports multiple TDD UL-DL patterns including new TDD pattern 30D4S6U, only the supported TDD UL-DL pattern 30D4S6U shall be used for all tests.</w:t>
      </w:r>
    </w:p>
    <w:p>
      <w:pPr>
        <w:spacing w:before="60"/>
        <w:jc w:val="both"/>
        <w:rPr>
          <w:rFonts w:hint="default"/>
          <w:b/>
          <w:bCs/>
          <w:i/>
          <w:iCs/>
          <w:sz w:val="20"/>
          <w:szCs w:val="20"/>
          <w:lang w:val="en-US" w:eastAsia="zh-CN"/>
        </w:rPr>
      </w:pPr>
      <w:r>
        <w:rPr>
          <w:rFonts w:hint="eastAsia"/>
          <w:b/>
          <w:bCs/>
          <w:i/>
          <w:iCs/>
          <w:sz w:val="20"/>
          <w:szCs w:val="20"/>
          <w:lang w:val="en-US" w:eastAsia="zh-CN"/>
        </w:rPr>
        <w:t>Proposal 2: For ATG BS demodulation requirements, if BS supports multiple TDD UL-DL patterns including new TDD pattern 30D4S6U, only the supported TDD UL-DL pattern 30D4S6U shall be used for all tests.</w:t>
      </w:r>
    </w:p>
    <w:p>
      <w:pPr>
        <w:keepNext w:val="0"/>
        <w:keepLines w:val="0"/>
        <w:pageBreakBefore w:val="0"/>
        <w:widowControl/>
        <w:kinsoku/>
        <w:wordWrap/>
        <w:overflowPunct/>
        <w:topLinePunct w:val="0"/>
        <w:autoSpaceDE/>
        <w:autoSpaceDN/>
        <w:bidi w:val="0"/>
        <w:adjustRightInd/>
        <w:snapToGrid/>
        <w:spacing w:before="157" w:beforeLines="50"/>
        <w:textAlignment w:val="auto"/>
        <w:rPr>
          <w:b/>
          <w:i/>
          <w:iCs/>
          <w:sz w:val="20"/>
          <w:szCs w:val="20"/>
          <w:u w:val="single"/>
          <w:lang w:eastAsia="ko-KR"/>
        </w:rPr>
      </w:pPr>
      <w:r>
        <w:rPr>
          <w:b/>
          <w:i/>
          <w:iCs/>
          <w:sz w:val="20"/>
          <w:szCs w:val="20"/>
          <w:u w:val="single"/>
          <w:lang w:eastAsia="ko-KR"/>
        </w:rPr>
        <w:t>Issue 1-4: Specification impact</w:t>
      </w:r>
    </w:p>
    <w:p>
      <w:pPr>
        <w:numPr>
          <w:ilvl w:val="0"/>
          <w:numId w:val="4"/>
        </w:numPr>
        <w:spacing w:after="120"/>
        <w:rPr>
          <w:rFonts w:eastAsia="宋体"/>
          <w:i/>
          <w:iCs/>
          <w:sz w:val="20"/>
          <w:lang w:val="en-GB"/>
        </w:rPr>
      </w:pPr>
      <w:r>
        <w:rPr>
          <w:rFonts w:hint="eastAsia" w:eastAsia="宋体"/>
          <w:i/>
          <w:iCs/>
          <w:sz w:val="20"/>
          <w:lang w:val="en-GB"/>
        </w:rPr>
        <w:t>F</w:t>
      </w:r>
      <w:r>
        <w:rPr>
          <w:rFonts w:eastAsia="宋体"/>
          <w:i/>
          <w:iCs/>
          <w:sz w:val="20"/>
          <w:lang w:val="en-GB"/>
        </w:rPr>
        <w:t>FS in next meeting</w:t>
      </w:r>
    </w:p>
    <w:p>
      <w:pPr>
        <w:spacing w:before="6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UE demodulation requirements:</w:t>
      </w:r>
    </w:p>
    <w:p>
      <w:pPr>
        <w:spacing w:before="60"/>
        <w:jc w:val="both"/>
        <w:rPr>
          <w:rFonts w:hint="eastAsia" w:cs="Times New Roman"/>
          <w:sz w:val="20"/>
          <w:szCs w:val="20"/>
          <w:lang w:val="en-US" w:eastAsia="zh-CN"/>
        </w:rPr>
      </w:pPr>
      <w:r>
        <w:rPr>
          <w:rFonts w:hint="eastAsia" w:ascii="Times New Roman" w:hAnsi="Times New Roman" w:cs="Times New Roman"/>
          <w:sz w:val="20"/>
          <w:szCs w:val="20"/>
          <w:lang w:val="en-US" w:eastAsia="zh-CN"/>
        </w:rPr>
        <w:t>New clause for ATG applicability of requirements should be introduced</w:t>
      </w:r>
      <w:r>
        <w:rPr>
          <w:rFonts w:hint="eastAsia" w:cs="Times New Roman"/>
          <w:sz w:val="20"/>
          <w:szCs w:val="20"/>
          <w:lang w:val="en-US" w:eastAsia="zh-CN"/>
        </w:rPr>
        <w:t>,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keepLines/>
              <w:pBdr>
                <w:top w:val="none" w:color="auto" w:sz="0" w:space="0"/>
              </w:pBdr>
              <w:spacing w:before="120" w:after="180"/>
              <w:ind w:left="1418" w:hanging="1418"/>
              <w:outlineLvl w:val="3"/>
              <w:rPr>
                <w:rFonts w:hint="default" w:ascii="Times New Roman" w:hAnsi="Times New Roman" w:eastAsia="宋体" w:cs="Times New Roman"/>
                <w:i w:val="0"/>
                <w:iCs w:val="0"/>
                <w:sz w:val="20"/>
                <w:szCs w:val="20"/>
                <w:lang w:val="en-US" w:eastAsia="zh-CN" w:bidi="ar-SA"/>
              </w:rPr>
            </w:pPr>
            <w:bookmarkStart w:id="8" w:name="_Toc124377019"/>
            <w:bookmarkStart w:id="9" w:name="_Toc114565711"/>
            <w:bookmarkStart w:id="10" w:name="_Toc123936004"/>
            <w:r>
              <w:rPr>
                <w:rFonts w:ascii="Times New Roman" w:hAnsi="Times New Roman" w:eastAsia="宋体" w:cs="Times New Roman"/>
                <w:i w:val="0"/>
                <w:iCs w:val="0"/>
                <w:sz w:val="20"/>
                <w:szCs w:val="20"/>
                <w:lang w:val="en-GB" w:eastAsia="en-US" w:bidi="ar-SA"/>
              </w:rPr>
              <w:t>5.1.1.</w:t>
            </w:r>
            <w:r>
              <w:rPr>
                <w:rFonts w:hint="eastAsia" w:ascii="Times New Roman" w:hAnsi="Times New Roman" w:eastAsia="宋体" w:cs="Times New Roman"/>
                <w:i w:val="0"/>
                <w:iCs w:val="0"/>
                <w:sz w:val="20"/>
                <w:szCs w:val="20"/>
                <w:lang w:val="en-US" w:eastAsia="zh-CN" w:bidi="ar-SA"/>
              </w:rPr>
              <w:t>x</w:t>
            </w:r>
            <w:r>
              <w:rPr>
                <w:rFonts w:hint="eastAsia" w:ascii="Times New Roman" w:hAnsi="Times New Roman" w:eastAsia="宋体" w:cs="Times New Roman"/>
                <w:i w:val="0"/>
                <w:iCs w:val="0"/>
                <w:sz w:val="20"/>
                <w:szCs w:val="20"/>
                <w:lang w:val="en-GB" w:eastAsia="en-US" w:bidi="ar-SA"/>
              </w:rPr>
              <w:tab/>
            </w:r>
            <w:r>
              <w:rPr>
                <w:rFonts w:ascii="Times New Roman" w:hAnsi="Times New Roman" w:eastAsia="宋体" w:cs="Times New Roman"/>
                <w:i w:val="0"/>
                <w:iCs w:val="0"/>
                <w:sz w:val="20"/>
                <w:szCs w:val="20"/>
                <w:lang w:val="en-GB" w:eastAsia="en-US" w:bidi="ar-SA"/>
              </w:rPr>
              <w:t xml:space="preserve">Applicability of requirements for </w:t>
            </w:r>
            <w:bookmarkEnd w:id="8"/>
            <w:bookmarkEnd w:id="9"/>
            <w:bookmarkEnd w:id="10"/>
            <w:r>
              <w:rPr>
                <w:rFonts w:hint="eastAsia" w:ascii="Times New Roman" w:hAnsi="Times New Roman" w:eastAsia="宋体" w:cs="Times New Roman"/>
                <w:i w:val="0"/>
                <w:iCs w:val="0"/>
                <w:sz w:val="20"/>
                <w:szCs w:val="20"/>
                <w:lang w:val="en-US" w:eastAsia="zh-CN" w:bidi="ar-SA"/>
              </w:rPr>
              <w:t>ATG</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1"/>
              <w:gridCol w:w="904"/>
              <w:gridCol w:w="894"/>
              <w:gridCol w:w="2535"/>
              <w:gridCol w:w="2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eastAsiaTheme="minorEastAsia"/>
                      <w:i/>
                      <w:iCs/>
                      <w:sz w:val="20"/>
                      <w:szCs w:val="20"/>
                      <w:lang w:eastAsia="ko-KR"/>
                    </w:rPr>
                  </w:pPr>
                  <w:r>
                    <w:rPr>
                      <w:rFonts w:ascii="Times New Roman" w:hAnsi="Times New Roman"/>
                      <w:i/>
                      <w:iCs/>
                      <w:sz w:val="20"/>
                      <w:szCs w:val="20"/>
                      <w:lang w:eastAsia="ko-KR"/>
                    </w:rPr>
                    <w:t>UE</w:t>
                  </w:r>
                  <w:r>
                    <w:rPr>
                      <w:rFonts w:hint="eastAsia" w:ascii="Times New Roman" w:hAnsi="Times New Roman"/>
                      <w:i/>
                      <w:iCs/>
                      <w:sz w:val="20"/>
                      <w:szCs w:val="20"/>
                      <w:lang w:val="en-US" w:eastAsia="zh-CN"/>
                    </w:rPr>
                    <w:t xml:space="preserve"> Type/</w:t>
                  </w:r>
                  <w:r>
                    <w:rPr>
                      <w:rFonts w:ascii="Times New Roman" w:hAnsi="Times New Roman"/>
                      <w:i/>
                      <w:iCs/>
                      <w:sz w:val="20"/>
                      <w:szCs w:val="20"/>
                      <w:lang w:eastAsia="ko-KR"/>
                    </w:rPr>
                    <w:t>capability</w:t>
                  </w:r>
                </w:p>
              </w:tc>
              <w:tc>
                <w:tcPr>
                  <w:tcW w:w="975"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type</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list</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hint="eastAsia" w:ascii="Times New Roman" w:hAnsi="Times New Roman"/>
                      <w:i/>
                      <w:iCs/>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ATG</w:t>
                  </w:r>
                  <w:r>
                    <w:rPr>
                      <w:rFonts w:hint="eastAsia" w:ascii="Times New Roman" w:hAnsi="Times New Roman" w:eastAsia="宋体"/>
                      <w:i/>
                      <w:iCs/>
                      <w:sz w:val="20"/>
                      <w:lang w:val="en-US" w:eastAsia="zh-CN"/>
                    </w:rPr>
                    <w:t xml:space="preserve"> UE </w:t>
                  </w:r>
                  <w:r>
                    <w:rPr>
                      <w:rFonts w:ascii="Times New Roman" w:hAnsi="Times New Roman" w:eastAsia="宋体"/>
                      <w:i/>
                      <w:iCs/>
                      <w:sz w:val="20"/>
                      <w:lang w:val="en-US" w:eastAsia="zh-CN"/>
                    </w:rPr>
                    <w:t>with 2RX</w:t>
                  </w: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i/>
                      <w:iCs/>
                      <w:sz w:val="20"/>
                      <w:lang w:val="en-US" w:eastAsia="zh-CN"/>
                    </w:rPr>
                  </w:pPr>
                  <w:r>
                    <w:rPr>
                      <w:rFonts w:hint="eastAsia" w:ascii="Times New Roman" w:hAnsi="Times New Roman" w:eastAsia="宋体"/>
                      <w:i/>
                      <w:iCs/>
                      <w:sz w:val="20"/>
                      <w:lang w:val="en-US" w:eastAsia="zh-CN"/>
                    </w:rPr>
                    <w:t>All t</w:t>
                  </w:r>
                  <w:r>
                    <w:rPr>
                      <w:rFonts w:ascii="Times New Roman" w:hAnsi="Times New Roman" w:eastAsia="宋体"/>
                      <w:i/>
                      <w:iCs/>
                      <w:sz w:val="20"/>
                      <w:lang w:val="en-US" w:eastAsia="zh-CN"/>
                    </w:rPr>
                    <w:t>ests in Clause 5.2.1.1.x</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 xml:space="preserve">Test number 2, 3 and 4 in Clause 5.3.2.1.1, and </w:t>
                  </w:r>
                </w:p>
                <w:p>
                  <w:pPr>
                    <w:keepNext/>
                    <w:keepLines/>
                    <w:rPr>
                      <w:rFonts w:eastAsia="宋体"/>
                      <w:i/>
                      <w:iCs/>
                      <w:sz w:val="20"/>
                      <w:szCs w:val="20"/>
                      <w:lang w:val="en-GB" w:eastAsia="en-US"/>
                    </w:rPr>
                  </w:pPr>
                  <w:r>
                    <w:rPr>
                      <w:rFonts w:eastAsia="宋体"/>
                      <w:i/>
                      <w:iCs/>
                      <w:sz w:val="20"/>
                      <w:szCs w:val="20"/>
                    </w:rPr>
                    <w:t>All tests in Clause 5.3.2.1.2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6.2.2.1.1.1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5.2.1.2.x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Test number 1 and 2 in Clause 5.3.2.2.1, and</w:t>
                  </w:r>
                </w:p>
                <w:p>
                  <w:pPr>
                    <w:keepNext/>
                    <w:keepLines/>
                    <w:rPr>
                      <w:rFonts w:eastAsia="宋体"/>
                      <w:i/>
                      <w:iCs/>
                      <w:sz w:val="20"/>
                      <w:szCs w:val="20"/>
                      <w:lang w:val="en-GB" w:eastAsia="en-US"/>
                    </w:rPr>
                  </w:pPr>
                  <w:r>
                    <w:rPr>
                      <w:rFonts w:eastAsia="宋体"/>
                      <w:i/>
                      <w:iCs/>
                      <w:sz w:val="20"/>
                      <w:szCs w:val="20"/>
                    </w:rPr>
                    <w:t>All tests in Clause 5.3.2.2.2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r>
                    <w:rPr>
                      <w:rFonts w:ascii="Times New Roman" w:hAnsi="Times New Roman" w:eastAsia="宋体"/>
                      <w:i/>
                      <w:iCs/>
                      <w:sz w:val="20"/>
                      <w:lang w:val="en-US" w:eastAsia="zh-CN"/>
                    </w:rPr>
                    <w:t xml:space="preserve">ATG </w:t>
                  </w:r>
                  <w:r>
                    <w:rPr>
                      <w:rFonts w:hint="eastAsia" w:ascii="Times New Roman" w:hAnsi="Times New Roman" w:eastAsia="宋体"/>
                      <w:i/>
                      <w:iCs/>
                      <w:sz w:val="20"/>
                      <w:lang w:val="en-US" w:eastAsia="zh-CN"/>
                    </w:rPr>
                    <w:t xml:space="preserve">UE </w:t>
                  </w:r>
                  <w:r>
                    <w:rPr>
                      <w:rFonts w:ascii="Times New Roman" w:hAnsi="Times New Roman"/>
                      <w:i/>
                      <w:iCs/>
                      <w:sz w:val="20"/>
                      <w:lang w:val="en-US" w:eastAsia="zh-CN"/>
                    </w:rPr>
                    <w:t>with 4RX</w:t>
                  </w: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5.2.2.1.x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rPr>
                      <w:rFonts w:hint="default" w:eastAsia="宋体"/>
                      <w:i/>
                      <w:iCs/>
                      <w:sz w:val="20"/>
                      <w:szCs w:val="20"/>
                      <w:lang w:val="en-US"/>
                    </w:rPr>
                  </w:pPr>
                  <w:r>
                    <w:rPr>
                      <w:rFonts w:hint="eastAsia"/>
                      <w:i/>
                      <w:iCs/>
                      <w:sz w:val="20"/>
                      <w:szCs w:val="20"/>
                      <w:lang w:val="en-US" w:eastAsia="zh-CN"/>
                    </w:rPr>
                    <w:t xml:space="preserve">Test number 2, 3 and 4 in </w:t>
                  </w:r>
                  <w:r>
                    <w:rPr>
                      <w:rFonts w:eastAsia="宋体"/>
                      <w:i/>
                      <w:iCs/>
                      <w:sz w:val="20"/>
                      <w:szCs w:val="20"/>
                    </w:rPr>
                    <w:t>Clause</w:t>
                  </w:r>
                  <w:r>
                    <w:rPr>
                      <w:rFonts w:hint="eastAsia" w:eastAsia="宋体"/>
                      <w:i/>
                      <w:iCs/>
                      <w:sz w:val="20"/>
                      <w:szCs w:val="20"/>
                      <w:lang w:val="en-US" w:eastAsia="zh-CN"/>
                    </w:rPr>
                    <w:t xml:space="preserve"> </w:t>
                  </w:r>
                  <w:r>
                    <w:rPr>
                      <w:rFonts w:hint="eastAsia"/>
                      <w:i/>
                      <w:iCs/>
                      <w:sz w:val="20"/>
                      <w:szCs w:val="20"/>
                      <w:lang w:val="en-US" w:eastAsia="zh-CN"/>
                    </w:rPr>
                    <w:t xml:space="preserve">5.3.3.1.1, and </w:t>
                  </w:r>
                </w:p>
                <w:p>
                  <w:pPr>
                    <w:rPr>
                      <w:rFonts w:eastAsia="宋体"/>
                      <w:i/>
                      <w:iCs/>
                      <w:sz w:val="20"/>
                      <w:szCs w:val="20"/>
                      <w:lang w:val="en-GB" w:eastAsia="en-US"/>
                    </w:rPr>
                  </w:pPr>
                  <w:r>
                    <w:rPr>
                      <w:rFonts w:eastAsia="宋体"/>
                      <w:i/>
                      <w:iCs/>
                      <w:sz w:val="20"/>
                      <w:szCs w:val="20"/>
                    </w:rPr>
                    <w:t>All tests in Clause 5.3.3.1.2</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bottom w:val="nil"/>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r>
                    <w:rPr>
                      <w:rFonts w:hint="eastAsia"/>
                      <w:i/>
                      <w:iCs/>
                      <w:sz w:val="20"/>
                      <w:szCs w:val="20"/>
                      <w:lang w:val="en-US" w:eastAsia="zh-CN"/>
                    </w:rPr>
                    <w:t>All tests in Clause 6.2.3.1.1.1</w:t>
                  </w:r>
                </w:p>
              </w:tc>
              <w:tc>
                <w:tcPr>
                  <w:tcW w:w="1397" w:type="pct"/>
                  <w:tcBorders>
                    <w:top w:val="single" w:color="auto" w:sz="4" w:space="0"/>
                    <w:left w:val="single" w:color="auto" w:sz="4" w:space="0"/>
                    <w:bottom w:val="single" w:color="auto" w:sz="4" w:space="0"/>
                    <w:right w:val="single" w:color="auto" w:sz="4" w:space="0"/>
                  </w:tcBorders>
                </w:tcPr>
                <w:p>
                  <w:pPr>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vMerge w:val="restart"/>
                  <w:tcBorders>
                    <w:top w:val="nil"/>
                    <w:left w:val="single" w:color="auto" w:sz="4" w:space="0"/>
                    <w:bottom w:val="single" w:color="auto" w:sz="4" w:space="0"/>
                    <w:right w:val="single" w:color="auto" w:sz="4" w:space="0"/>
                  </w:tcBorders>
                </w:tcPr>
                <w:p>
                  <w:pPr>
                    <w:pStyle w:val="57"/>
                    <w:rPr>
                      <w:rFonts w:ascii="Times New Roman" w:hAnsi="Times New Roman" w:eastAsiaTheme="minorEastAsia"/>
                      <w:i/>
                      <w:iCs/>
                      <w:sz w:val="20"/>
                      <w:lang w:val="en-US" w:eastAsia="zh-CN"/>
                    </w:rPr>
                  </w:pP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30" w:type="pct"/>
                  <w:vMerge w:val="continue"/>
                  <w:tcBorders>
                    <w:top w:val="nil"/>
                    <w:left w:val="single" w:color="auto" w:sz="4" w:space="0"/>
                    <w:bottom w:val="nil"/>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eastAsia="zh-CN"/>
                    </w:rPr>
                  </w:pPr>
                  <w:r>
                    <w:rPr>
                      <w:rFonts w:hint="eastAsia" w:eastAsia="宋体"/>
                      <w:i/>
                      <w:iCs/>
                      <w:sz w:val="20"/>
                      <w:szCs w:val="20"/>
                    </w:rPr>
                    <w:t xml:space="preserve">Test number 1 and 2 in </w:t>
                  </w:r>
                  <w:r>
                    <w:rPr>
                      <w:rFonts w:eastAsia="宋体"/>
                      <w:i/>
                      <w:iCs/>
                      <w:sz w:val="20"/>
                      <w:szCs w:val="20"/>
                    </w:rPr>
                    <w:t xml:space="preserve">Clause </w:t>
                  </w:r>
                  <w:r>
                    <w:rPr>
                      <w:rFonts w:hint="eastAsia" w:eastAsia="宋体"/>
                      <w:i/>
                      <w:iCs/>
                      <w:sz w:val="20"/>
                      <w:szCs w:val="20"/>
                    </w:rPr>
                    <w:t>5.3.3.2.1</w:t>
                  </w:r>
                  <w:r>
                    <w:rPr>
                      <w:rFonts w:hint="eastAsia" w:eastAsia="宋体"/>
                      <w:i/>
                      <w:iCs/>
                      <w:sz w:val="20"/>
                      <w:szCs w:val="20"/>
                      <w:lang w:val="en-US" w:eastAsia="zh-CN"/>
                    </w:rPr>
                    <w:t xml:space="preserve">, and </w:t>
                  </w:r>
                </w:p>
                <w:p>
                  <w:pPr>
                    <w:keepNext/>
                    <w:keepLines/>
                    <w:rPr>
                      <w:rFonts w:eastAsia="宋体"/>
                      <w:i/>
                      <w:iCs/>
                      <w:sz w:val="20"/>
                      <w:szCs w:val="20"/>
                      <w:lang w:val="en-GB" w:eastAsia="en-US"/>
                    </w:rPr>
                  </w:pPr>
                  <w:r>
                    <w:rPr>
                      <w:rFonts w:eastAsia="宋体"/>
                      <w:i/>
                      <w:iCs/>
                      <w:sz w:val="20"/>
                      <w:szCs w:val="20"/>
                    </w:rPr>
                    <w:t>All tests in Clause 5.3.3.2.2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single" w:color="3A3737" w:sz="4" w:space="0"/>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6.2.3.2.1.1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3A3737"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UE</w:t>
                  </w:r>
                  <w:r>
                    <w:rPr>
                      <w:rFonts w:hint="eastAsia" w:ascii="Times New Roman" w:hAnsi="Times New Roman" w:eastAsia="宋体"/>
                      <w:i/>
                      <w:iCs/>
                      <w:sz w:val="20"/>
                      <w:lang w:val="en-US" w:eastAsia="zh-CN"/>
                    </w:rPr>
                    <w:t xml:space="preserve"> </w:t>
                  </w:r>
                  <w:r>
                    <w:rPr>
                      <w:rFonts w:hint="eastAsia" w:eastAsia="宋体"/>
                      <w:i/>
                      <w:iCs/>
                      <w:sz w:val="20"/>
                      <w:lang w:val="en-US" w:eastAsia="zh-CN"/>
                    </w:rPr>
                    <w:t>support ATG</w:t>
                  </w:r>
                  <w:r>
                    <w:rPr>
                      <w:rFonts w:hint="eastAsia" w:ascii="Times New Roman" w:hAnsi="Times New Roman" w:eastAsia="宋体"/>
                      <w:i/>
                      <w:iCs/>
                      <w:sz w:val="20"/>
                      <w:lang w:val="en-US" w:eastAsia="zh-CN"/>
                    </w:rPr>
                    <w:t xml:space="preserve"> feature (K1 and HARQ process extension introduced by RAN1) with </w:t>
                  </w:r>
                  <w:r>
                    <w:rPr>
                      <w:rFonts w:hint="eastAsia" w:eastAsia="宋体"/>
                      <w:i/>
                      <w:iCs/>
                      <w:sz w:val="20"/>
                      <w:lang w:val="en-US" w:eastAsia="zh-CN"/>
                    </w:rPr>
                    <w:t>2</w:t>
                  </w:r>
                  <w:r>
                    <w:rPr>
                      <w:rFonts w:hint="eastAsia" w:ascii="Times New Roman" w:hAnsi="Times New Roman" w:eastAsia="宋体"/>
                      <w:i/>
                      <w:iCs/>
                      <w:sz w:val="20"/>
                      <w:lang w:val="en-US" w:eastAsia="zh-CN"/>
                    </w:rPr>
                    <w:t>Rx</w:t>
                  </w:r>
                </w:p>
              </w:tc>
              <w:tc>
                <w:tcPr>
                  <w:tcW w:w="501" w:type="pct"/>
                  <w:tcBorders>
                    <w:left w:val="single" w:color="auto" w:sz="4" w:space="0"/>
                    <w:bottom w:val="single" w:color="auto" w:sz="4" w:space="0"/>
                    <w:right w:val="single" w:color="auto" w:sz="4" w:space="0"/>
                  </w:tcBorders>
                  <w:vAlign w:val="top"/>
                </w:tcPr>
                <w:p>
                  <w:pPr>
                    <w:jc w:val="both"/>
                    <w:rPr>
                      <w:rFonts w:eastAsia="宋体"/>
                      <w:i/>
                      <w:iCs/>
                      <w:sz w:val="20"/>
                      <w:szCs w:val="20"/>
                    </w:rPr>
                  </w:pPr>
                  <w:r>
                    <w:rPr>
                      <w:rFonts w:ascii="Times New Roman" w:hAnsi="Times New Roman" w:eastAsia="宋体" w:cs="Times New Roman"/>
                      <w:i/>
                      <w:iCs/>
                      <w:sz w:val="20"/>
                      <w:szCs w:val="20"/>
                      <w:lang w:val="en-US" w:eastAsia="zh-CN" w:bidi="ar-SA"/>
                    </w:rPr>
                    <w:t xml:space="preserve">FR1 </w:t>
                  </w:r>
                  <w:r>
                    <w:rPr>
                      <w:rFonts w:hint="eastAsia" w:ascii="Times New Roman" w:hAnsi="Times New Roman" w:eastAsia="宋体" w:cs="Times New Roman"/>
                      <w:i/>
                      <w:iCs/>
                      <w:sz w:val="20"/>
                      <w:szCs w:val="20"/>
                      <w:lang w:val="en-US" w:eastAsia="zh-CN" w:bidi="ar-SA"/>
                    </w:rPr>
                    <w:t>TDD</w:t>
                  </w:r>
                  <w:r>
                    <w:rPr>
                      <w:rFonts w:ascii="Times New Roman" w:hAnsi="Times New Roman" w:eastAsia="宋体" w:cs="Times New Roman"/>
                      <w:i/>
                      <w:iCs/>
                      <w:sz w:val="20"/>
                      <w:szCs w:val="20"/>
                      <w:lang w:val="en-US" w:eastAsia="zh-CN" w:bidi="ar-SA"/>
                    </w:rPr>
                    <w:t xml:space="preserve"> </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1.2</w:t>
                  </w:r>
                  <w:r>
                    <w:rPr>
                      <w:rFonts w:eastAsia="宋体"/>
                      <w:i/>
                      <w:iCs/>
                      <w:sz w:val="20"/>
                      <w:szCs w:val="20"/>
                    </w:rPr>
                    <w:t>.x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 xml:space="preserve">UE support </w:t>
                  </w:r>
                  <w:r>
                    <w:rPr>
                      <w:rFonts w:hint="eastAsia" w:ascii="Times New Roman" w:hAnsi="Times New Roman" w:eastAsia="宋体"/>
                      <w:i/>
                      <w:iCs/>
                      <w:sz w:val="20"/>
                      <w:lang w:val="en-US" w:eastAsia="zh-CN"/>
                    </w:rPr>
                    <w:t>ATG feature (K1 and HARQ process extension introduced by RAN1) with 4Rx</w:t>
                  </w:r>
                </w:p>
              </w:tc>
              <w:tc>
                <w:tcPr>
                  <w:tcW w:w="501" w:type="pct"/>
                  <w:tcBorders>
                    <w:top w:val="single" w:color="auto" w:sz="4" w:space="0"/>
                    <w:left w:val="single" w:color="auto" w:sz="4" w:space="0"/>
                    <w:bottom w:val="single" w:color="auto" w:sz="4" w:space="0"/>
                    <w:right w:val="single" w:color="auto" w:sz="4" w:space="0"/>
                  </w:tcBorders>
                  <w:vAlign w:val="top"/>
                </w:tcPr>
                <w:p>
                  <w:pPr>
                    <w:jc w:val="both"/>
                    <w:rPr>
                      <w:rFonts w:hint="eastAsia" w:eastAsia="宋体"/>
                      <w:i/>
                      <w:iCs/>
                      <w:sz w:val="20"/>
                      <w:szCs w:val="20"/>
                      <w:lang w:val="en-US" w:eastAsia="zh-CN"/>
                    </w:rPr>
                  </w:pPr>
                  <w:r>
                    <w:rPr>
                      <w:rFonts w:hint="eastAsia" w:eastAsia="宋体"/>
                      <w:i/>
                      <w:iCs/>
                      <w:sz w:val="20"/>
                      <w:szCs w:val="20"/>
                      <w:lang w:val="en-US" w:eastAsia="zh-CN"/>
                    </w:rPr>
                    <w:t>FR1</w:t>
                  </w:r>
                </w:p>
                <w:p>
                  <w:pPr>
                    <w:jc w:val="both"/>
                    <w:rPr>
                      <w:rFonts w:hint="default" w:eastAsia="宋体"/>
                      <w:i/>
                      <w:iCs/>
                      <w:sz w:val="20"/>
                      <w:szCs w:val="20"/>
                      <w:lang w:val="en-US" w:eastAsia="zh-CN"/>
                    </w:rPr>
                  </w:pPr>
                  <w:r>
                    <w:rPr>
                      <w:rFonts w:hint="eastAsia" w:eastAsia="宋体"/>
                      <w:i/>
                      <w:iCs/>
                      <w:sz w:val="20"/>
                      <w:szCs w:val="20"/>
                      <w:lang w:val="en-US" w:eastAsia="zh-CN"/>
                    </w:rPr>
                    <w:t>TDD</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bl>
          <w:p>
            <w:pPr>
              <w:spacing w:before="60"/>
              <w:jc w:val="both"/>
              <w:rPr>
                <w:rFonts w:hint="default" w:cs="Times New Roman"/>
                <w:sz w:val="20"/>
                <w:szCs w:val="20"/>
                <w:vertAlign w:val="baseline"/>
                <w:lang w:val="en-US" w:eastAsia="zh-CN"/>
              </w:rPr>
            </w:pPr>
          </w:p>
        </w:tc>
      </w:tr>
    </w:tbl>
    <w:p>
      <w:pPr>
        <w:spacing w:before="60"/>
        <w:jc w:val="both"/>
        <w:rPr>
          <w:rFonts w:hint="eastAsia" w:cs="Times New Roman"/>
          <w:sz w:val="20"/>
          <w:szCs w:val="20"/>
          <w:lang w:val="en-US" w:eastAsia="zh-CN"/>
        </w:rPr>
      </w:pPr>
      <w:r>
        <w:rPr>
          <w:rFonts w:hint="eastAsia" w:ascii="Times New Roman" w:hAnsi="Times New Roman" w:cs="Times New Roman"/>
          <w:sz w:val="20"/>
          <w:szCs w:val="20"/>
          <w:lang w:val="en-US" w:eastAsia="zh-CN"/>
        </w:rPr>
        <w:t>New clause</w:t>
      </w:r>
      <w:r>
        <w:rPr>
          <w:rFonts w:hint="eastAsia" w:cs="Times New Roman"/>
          <w:sz w:val="20"/>
          <w:szCs w:val="20"/>
          <w:lang w:val="en-US" w:eastAsia="zh-CN"/>
        </w:rPr>
        <w:t>s</w:t>
      </w:r>
      <w:r>
        <w:rPr>
          <w:rFonts w:hint="eastAsia" w:ascii="Times New Roman" w:hAnsi="Times New Roman" w:cs="Times New Roman"/>
          <w:sz w:val="20"/>
          <w:szCs w:val="20"/>
          <w:lang w:val="en-US" w:eastAsia="zh-CN"/>
        </w:rPr>
        <w:t xml:space="preserve"> for ATG new incremental PDSCH requirements should be introduced</w:t>
      </w:r>
      <w:r>
        <w:rPr>
          <w:rFonts w:hint="eastAsia" w:cs="Times New Roman"/>
          <w:sz w:val="20"/>
          <w:szCs w:val="20"/>
          <w:lang w:val="en-US" w:eastAsia="zh-CN"/>
        </w:rPr>
        <w:t>,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default" w:ascii="Times New Roman" w:hAnsi="Times New Roman" w:eastAsia="宋体"/>
                <w:i w:val="0"/>
                <w:iCs w:val="0"/>
                <w:sz w:val="20"/>
                <w:lang w:val="en-US" w:eastAsia="zh-CN"/>
              </w:rPr>
            </w:pPr>
            <w:r>
              <w:rPr>
                <w:rFonts w:ascii="Times New Roman" w:hAnsi="Times New Roman" w:eastAsia="宋体"/>
                <w:i w:val="0"/>
                <w:iCs w:val="0"/>
                <w:sz w:val="20"/>
                <w:lang w:val="en-US" w:eastAsia="zh-CN"/>
              </w:rPr>
              <w:t>5.2.1.1.x</w:t>
            </w:r>
            <w:r>
              <w:rPr>
                <w:rFonts w:hint="eastAsia" w:eastAsia="宋体"/>
                <w:i w:val="0"/>
                <w:iCs w:val="0"/>
                <w:sz w:val="20"/>
                <w:lang w:val="en-US" w:eastAsia="zh-CN"/>
              </w:rPr>
              <w:t xml:space="preserve"> Minimum requirements for ATG (FR1 FDD 2Rx)</w:t>
            </w:r>
          </w:p>
          <w:p>
            <w:pPr>
              <w:spacing w:before="60"/>
              <w:jc w:val="both"/>
              <w:rPr>
                <w:rFonts w:hint="eastAsia" w:eastAsia="宋体"/>
                <w:i w:val="0"/>
                <w:iCs w:val="0"/>
                <w:sz w:val="20"/>
                <w:szCs w:val="20"/>
                <w:lang w:val="en-US" w:eastAsia="zh-CN"/>
              </w:rPr>
            </w:pPr>
            <w:r>
              <w:rPr>
                <w:rFonts w:eastAsia="宋体"/>
                <w:i w:val="0"/>
                <w:iCs w:val="0"/>
                <w:sz w:val="20"/>
                <w:szCs w:val="20"/>
              </w:rPr>
              <w:t>5.2.1.2.x</w:t>
            </w:r>
            <w:r>
              <w:rPr>
                <w:rFonts w:hint="eastAsia" w:eastAsia="宋体"/>
                <w:i w:val="0"/>
                <w:iCs w:val="0"/>
                <w:sz w:val="20"/>
                <w:szCs w:val="20"/>
                <w:lang w:val="en-US" w:eastAsia="zh-CN"/>
              </w:rPr>
              <w:t xml:space="preserve"> </w:t>
            </w:r>
            <w:r>
              <w:rPr>
                <w:rFonts w:hint="eastAsia" w:eastAsia="宋体"/>
                <w:i w:val="0"/>
                <w:iCs w:val="0"/>
                <w:sz w:val="20"/>
                <w:lang w:val="en-US" w:eastAsia="zh-CN"/>
              </w:rPr>
              <w:t>Minimum requirements for ATG (FR1 TDD 2Rx)</w:t>
            </w:r>
          </w:p>
          <w:p>
            <w:pPr>
              <w:spacing w:before="60"/>
              <w:jc w:val="both"/>
              <w:rPr>
                <w:rFonts w:hint="eastAsia" w:eastAsia="宋体"/>
                <w:i w:val="0"/>
                <w:iCs w:val="0"/>
                <w:sz w:val="20"/>
                <w:szCs w:val="20"/>
                <w:lang w:val="en-US" w:eastAsia="zh-CN"/>
              </w:rPr>
            </w:pPr>
            <w:r>
              <w:rPr>
                <w:rFonts w:eastAsia="宋体"/>
                <w:i w:val="0"/>
                <w:iCs w:val="0"/>
                <w:sz w:val="20"/>
                <w:szCs w:val="20"/>
              </w:rPr>
              <w:t>5.2.2.1.x</w:t>
            </w:r>
            <w:r>
              <w:rPr>
                <w:rFonts w:hint="eastAsia" w:eastAsia="宋体"/>
                <w:i w:val="0"/>
                <w:iCs w:val="0"/>
                <w:sz w:val="20"/>
                <w:szCs w:val="20"/>
                <w:lang w:val="en-US" w:eastAsia="zh-CN"/>
              </w:rPr>
              <w:t xml:space="preserve"> </w:t>
            </w:r>
            <w:r>
              <w:rPr>
                <w:rFonts w:hint="eastAsia" w:eastAsia="宋体"/>
                <w:i w:val="0"/>
                <w:iCs w:val="0"/>
                <w:sz w:val="20"/>
                <w:lang w:val="en-US" w:eastAsia="zh-CN"/>
              </w:rPr>
              <w:t>Minimum requirements for ATG (FR1 FDD 4Rx)</w:t>
            </w:r>
          </w:p>
          <w:p>
            <w:pPr>
              <w:spacing w:before="60"/>
              <w:jc w:val="both"/>
              <w:rPr>
                <w:rFonts w:hint="default" w:eastAsia="宋体"/>
                <w:i/>
                <w:iCs/>
                <w:sz w:val="20"/>
                <w:szCs w:val="20"/>
                <w:lang w:val="en-US" w:eastAsia="zh-CN"/>
              </w:rPr>
            </w:pPr>
            <w:r>
              <w:rPr>
                <w:rFonts w:eastAsia="宋体"/>
                <w:i w:val="0"/>
                <w:iCs w:val="0"/>
                <w:sz w:val="20"/>
                <w:szCs w:val="20"/>
              </w:rPr>
              <w:t>5.2.</w:t>
            </w:r>
            <w:r>
              <w:rPr>
                <w:rFonts w:hint="eastAsia" w:eastAsia="宋体"/>
                <w:i w:val="0"/>
                <w:iCs w:val="0"/>
                <w:sz w:val="20"/>
                <w:szCs w:val="20"/>
                <w:lang w:val="en-US" w:eastAsia="zh-CN"/>
              </w:rPr>
              <w:t>2</w:t>
            </w:r>
            <w:r>
              <w:rPr>
                <w:rFonts w:eastAsia="宋体"/>
                <w:i w:val="0"/>
                <w:iCs w:val="0"/>
                <w:sz w:val="20"/>
                <w:szCs w:val="20"/>
              </w:rPr>
              <w:t>.2.x</w:t>
            </w:r>
            <w:r>
              <w:rPr>
                <w:rFonts w:hint="eastAsia" w:eastAsia="宋体"/>
                <w:i w:val="0"/>
                <w:iCs w:val="0"/>
                <w:sz w:val="20"/>
                <w:szCs w:val="20"/>
                <w:lang w:val="en-US" w:eastAsia="zh-CN"/>
              </w:rPr>
              <w:t xml:space="preserve"> </w:t>
            </w:r>
            <w:r>
              <w:rPr>
                <w:rFonts w:hint="eastAsia" w:eastAsia="宋体"/>
                <w:i w:val="0"/>
                <w:iCs w:val="0"/>
                <w:sz w:val="20"/>
                <w:lang w:val="en-US" w:eastAsia="zh-CN"/>
              </w:rPr>
              <w:t>Minimum requirements for ATG (FR1 TDD 4Rx)</w:t>
            </w:r>
          </w:p>
        </w:tc>
      </w:tr>
    </w:tbl>
    <w:p>
      <w:pPr>
        <w:spacing w:before="6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BS demodulation requirements:</w:t>
      </w:r>
    </w:p>
    <w:p>
      <w:pPr>
        <w:spacing w:before="6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New clause for ATG new incremental PUSCH requirements should be introduced in 38.104</w:t>
      </w:r>
      <w:r>
        <w:rPr>
          <w:rFonts w:hint="eastAsia" w:cs="Times New Roman"/>
          <w:sz w:val="20"/>
          <w:szCs w:val="20"/>
          <w:lang w:val="en-US" w:eastAsia="zh-CN"/>
        </w:rPr>
        <w:t>,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eastAsia="宋体"/>
                <w:i w:val="0"/>
                <w:iCs w:val="0"/>
                <w:sz w:val="20"/>
                <w:lang w:val="en-US" w:eastAsia="zh-CN"/>
              </w:rPr>
            </w:pPr>
            <w:r>
              <w:rPr>
                <w:rFonts w:hint="eastAsia" w:eastAsia="宋体"/>
                <w:i w:val="0"/>
                <w:iCs w:val="0"/>
                <w:sz w:val="20"/>
                <w:lang w:val="en-US" w:eastAsia="zh-CN"/>
              </w:rPr>
              <w:t>8.2</w:t>
            </w:r>
            <w:r>
              <w:rPr>
                <w:rFonts w:ascii="Times New Roman" w:hAnsi="Times New Roman" w:eastAsia="宋体"/>
                <w:i w:val="0"/>
                <w:iCs w:val="0"/>
                <w:sz w:val="20"/>
                <w:lang w:val="en-US" w:eastAsia="zh-CN"/>
              </w:rPr>
              <w:t>.x</w:t>
            </w:r>
            <w:r>
              <w:rPr>
                <w:rFonts w:hint="eastAsia" w:eastAsia="宋体"/>
                <w:i w:val="0"/>
                <w:iCs w:val="0"/>
                <w:sz w:val="20"/>
                <w:lang w:val="en-US" w:eastAsia="zh-CN"/>
              </w:rPr>
              <w:t xml:space="preserve"> Requirements for PUSCH with transform precoding disabled for ATG</w:t>
            </w:r>
          </w:p>
          <w:p>
            <w:pPr>
              <w:spacing w:before="60"/>
              <w:jc w:val="both"/>
              <w:rPr>
                <w:rFonts w:hint="eastAsia" w:ascii="Times New Roman" w:hAnsi="Times New Roman" w:cs="Times New Roman"/>
                <w:sz w:val="20"/>
                <w:szCs w:val="20"/>
                <w:vertAlign w:val="baseline"/>
                <w:lang w:val="en-US" w:eastAsia="zh-CN"/>
              </w:rPr>
            </w:pPr>
            <w:r>
              <w:rPr>
                <w:rFonts w:hint="eastAsia" w:eastAsia="宋体"/>
                <w:i w:val="0"/>
                <w:iCs w:val="0"/>
                <w:sz w:val="20"/>
                <w:lang w:val="en-US" w:eastAsia="zh-CN"/>
              </w:rPr>
              <w:t>11.2.1.x  Requirements for PUSCH with transform precoding disabled for ATG</w:t>
            </w:r>
          </w:p>
        </w:tc>
      </w:tr>
    </w:tbl>
    <w:p>
      <w:pPr>
        <w:spacing w:before="60"/>
        <w:jc w:val="both"/>
        <w:rPr>
          <w:rFonts w:hint="eastAsia" w:cs="Times New Roman"/>
          <w:sz w:val="20"/>
          <w:szCs w:val="20"/>
          <w:lang w:val="en-US" w:eastAsia="zh-CN"/>
        </w:rPr>
      </w:pPr>
      <w:r>
        <w:rPr>
          <w:rFonts w:hint="eastAsia" w:ascii="Times New Roman" w:hAnsi="Times New Roman" w:cs="Times New Roman"/>
          <w:sz w:val="20"/>
          <w:szCs w:val="20"/>
          <w:lang w:val="en-US" w:eastAsia="zh-CN"/>
        </w:rPr>
        <w:t>New clause for ATG applicability of PUSCH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8.1.2.x1 Applicability of PUSCH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requirements </w:t>
            </w:r>
            <w:r>
              <w:rPr>
                <w:rFonts w:hint="eastAsia" w:eastAsia="宋体"/>
                <w:b w:val="0"/>
                <w:bCs w:val="0"/>
                <w:i w:val="0"/>
                <w:iCs w:val="0"/>
                <w:sz w:val="20"/>
                <w:lang w:val="en-US" w:eastAsia="zh-CN"/>
              </w:rPr>
              <w:t xml:space="preserve">for PUSCH with transform precoding disabled for ATG in 8.2.x of 38.104, requirements for </w:t>
            </w:r>
            <w:r>
              <w:rPr>
                <w:rFonts w:hint="eastAsia" w:eastAsia="宋体"/>
                <w:b w:val="0"/>
                <w:bCs w:val="0"/>
                <w:i w:val="0"/>
                <w:iCs w:val="0"/>
                <w:sz w:val="20"/>
                <w:szCs w:val="20"/>
                <w:lang w:val="en-US" w:eastAsia="zh-CN"/>
              </w:rPr>
              <w:t>PUSCH with transform precoding disabled demodulation in Clause 8.2.1 (11.2.1.1) and the requirements for UCI multiplexing on PUSCH in Clause 8.2.3 (11.2.1.3) shall be mandatory tested.</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8.1.2.</w:t>
            </w:r>
            <w:r>
              <w:rPr>
                <w:rFonts w:hint="eastAsia" w:cs="Times New Roman"/>
                <w:sz w:val="20"/>
                <w:szCs w:val="20"/>
                <w:vertAlign w:val="baseline"/>
                <w:lang w:val="en-US" w:eastAsia="zh-CN"/>
              </w:rPr>
              <w:t>x1</w:t>
            </w:r>
            <w:r>
              <w:rPr>
                <w:rFonts w:hint="default" w:cs="Times New Roman"/>
                <w:sz w:val="20"/>
                <w:szCs w:val="20"/>
                <w:vertAlign w:val="baseline"/>
                <w:lang w:val="en-US" w:eastAsia="zh-CN"/>
              </w:rPr>
              <w:t>.</w:t>
            </w:r>
            <w:r>
              <w:rPr>
                <w:rFonts w:hint="eastAsia" w:cs="Times New Roman"/>
                <w:sz w:val="20"/>
                <w:szCs w:val="20"/>
                <w:vertAlign w:val="baseline"/>
                <w:lang w:val="en-US" w:eastAsia="zh-CN"/>
              </w:rPr>
              <w:t xml:space="preserve">1 </w:t>
            </w:r>
            <w:r>
              <w:rPr>
                <w:rFonts w:hint="default" w:cs="Times New Roman"/>
                <w:sz w:val="20"/>
                <w:szCs w:val="20"/>
                <w:vertAlign w:val="baseline"/>
                <w:lang w:val="en-US" w:eastAsia="zh-CN"/>
              </w:rPr>
              <w:t>Applicability of requirements for TDD with different UL-DL patterns</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Unless otherwise stated, for </w:t>
            </w:r>
            <w:r>
              <w:rPr>
                <w:rFonts w:hint="eastAsia" w:cs="Times New Roman"/>
                <w:sz w:val="20"/>
                <w:szCs w:val="20"/>
                <w:vertAlign w:val="baseline"/>
                <w:lang w:val="en-US" w:eastAsia="zh-CN"/>
              </w:rPr>
              <w:t>30kHz</w:t>
            </w:r>
            <w:r>
              <w:rPr>
                <w:rFonts w:hint="default" w:cs="Times New Roman"/>
                <w:sz w:val="20"/>
                <w:szCs w:val="20"/>
                <w:vertAlign w:val="baseline"/>
                <w:lang w:val="en-US" w:eastAsia="zh-CN"/>
              </w:rPr>
              <w:t xml:space="preserve"> declared to be supported, if</w:t>
            </w:r>
            <w:r>
              <w:rPr>
                <w:rFonts w:hint="eastAsia" w:cs="Times New Roman"/>
                <w:sz w:val="20"/>
                <w:szCs w:val="20"/>
                <w:vertAlign w:val="baseline"/>
                <w:lang w:val="en-US" w:eastAsia="zh-CN"/>
              </w:rPr>
              <w:t xml:space="preserve"> BS </w:t>
            </w:r>
            <w:r>
              <w:rPr>
                <w:rFonts w:hint="eastAsia" w:cs="Times New Roman"/>
                <w:b w:val="0"/>
                <w:bCs w:val="0"/>
                <w:sz w:val="20"/>
                <w:szCs w:val="20"/>
                <w:vertAlign w:val="baseline"/>
                <w:lang w:val="en-US" w:eastAsia="zh-CN"/>
              </w:rPr>
              <w:t>(type 1-O)</w:t>
            </w:r>
            <w:r>
              <w:rPr>
                <w:rFonts w:hint="default" w:cs="Times New Roman"/>
                <w:sz w:val="20"/>
                <w:szCs w:val="20"/>
                <w:vertAlign w:val="baseline"/>
                <w:lang w:val="en-US" w:eastAsia="zh-CN"/>
              </w:rPr>
              <w:t xml:space="preserve"> </w:t>
            </w:r>
            <w:r>
              <w:rPr>
                <w:rFonts w:hint="eastAsia"/>
                <w:sz w:val="20"/>
                <w:szCs w:val="20"/>
                <w:lang w:val="en-US" w:eastAsia="zh-CN"/>
              </w:rPr>
              <w:t>supports multiple TDD UL-DL patterns including TDD pattern 30D4S6U, only the supported TDD UL-DL pattern 30D4S6U shall be used for all tests.</w:t>
            </w:r>
          </w:p>
        </w:tc>
      </w:tr>
    </w:tbl>
    <w:p>
      <w:pPr>
        <w:spacing w:before="6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New clause for ATG applicability of PUCCH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8.1.2.x2 Applicability of PUCCH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performance requirements </w:t>
            </w:r>
            <w:r>
              <w:rPr>
                <w:rFonts w:hint="eastAsia" w:eastAsia="宋体"/>
                <w:b w:val="0"/>
                <w:bCs w:val="0"/>
                <w:i w:val="0"/>
                <w:iCs w:val="0"/>
                <w:sz w:val="20"/>
                <w:lang w:val="en-US" w:eastAsia="zh-CN"/>
              </w:rPr>
              <w:t xml:space="preserve">for PUCCH in 8.3 </w:t>
            </w:r>
            <w:r>
              <w:rPr>
                <w:rFonts w:hint="eastAsia" w:eastAsia="宋体"/>
                <w:b w:val="0"/>
                <w:bCs w:val="0"/>
                <w:i w:val="0"/>
                <w:iCs w:val="0"/>
                <w:sz w:val="20"/>
                <w:szCs w:val="20"/>
                <w:lang w:val="en-US" w:eastAsia="zh-CN"/>
              </w:rPr>
              <w:t>(11.3.1) are applied.</w:t>
            </w:r>
          </w:p>
        </w:tc>
      </w:tr>
    </w:tbl>
    <w:p>
      <w:pPr>
        <w:spacing w:before="6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New clause for ATG applicability of PRACH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8.1.2.x3 Applicability of PRACH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performance requirements </w:t>
            </w:r>
            <w:r>
              <w:rPr>
                <w:rFonts w:hint="eastAsia" w:eastAsia="宋体"/>
                <w:b w:val="0"/>
                <w:bCs w:val="0"/>
                <w:i w:val="0"/>
                <w:iCs w:val="0"/>
                <w:sz w:val="20"/>
                <w:lang w:val="en-US" w:eastAsia="zh-CN"/>
              </w:rPr>
              <w:t xml:space="preserve">for PRACH in 8.4 </w:t>
            </w:r>
            <w:r>
              <w:rPr>
                <w:rFonts w:hint="eastAsia" w:eastAsia="宋体"/>
                <w:b w:val="0"/>
                <w:bCs w:val="0"/>
                <w:i w:val="0"/>
                <w:iCs w:val="0"/>
                <w:sz w:val="20"/>
                <w:szCs w:val="20"/>
                <w:lang w:val="en-US" w:eastAsia="zh-CN"/>
              </w:rPr>
              <w:t>(11.4.1) are applied.</w:t>
            </w:r>
          </w:p>
        </w:tc>
      </w:tr>
    </w:tbl>
    <w:p>
      <w:pPr>
        <w:spacing w:before="60"/>
        <w:jc w:val="both"/>
        <w:rPr>
          <w:rFonts w:hint="default"/>
          <w:b/>
          <w:bCs/>
          <w:i/>
          <w:iCs/>
          <w:sz w:val="20"/>
          <w:szCs w:val="20"/>
          <w:lang w:val="en-US" w:eastAsia="zh-CN"/>
        </w:rPr>
      </w:pP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spacing w:before="60"/>
        <w:jc w:val="both"/>
        <w:rPr>
          <w:rFonts w:hint="default"/>
          <w:b/>
          <w:bCs/>
          <w:i/>
          <w:iCs/>
          <w:sz w:val="20"/>
          <w:szCs w:val="20"/>
          <w:lang w:val="en-US" w:eastAsia="zh-CN"/>
        </w:rPr>
      </w:pPr>
      <w:r>
        <w:rPr>
          <w:rFonts w:hint="eastAsia"/>
          <w:b/>
          <w:bCs/>
          <w:i/>
          <w:iCs/>
          <w:sz w:val="20"/>
          <w:szCs w:val="20"/>
          <w:lang w:val="en-US" w:eastAsia="zh-CN"/>
        </w:rPr>
        <w:t>Proposal 1: For ATG UE demodulation requirements, if UE has passed the test cases with new TDD pattern, UE is allowed to skip the corresponding test cases with legacy TDD pattern.</w:t>
      </w:r>
    </w:p>
    <w:p>
      <w:pPr>
        <w:spacing w:before="60"/>
        <w:jc w:val="both"/>
        <w:rPr>
          <w:rFonts w:hint="default"/>
          <w:b/>
          <w:bCs/>
          <w:i/>
          <w:iCs/>
          <w:sz w:val="20"/>
          <w:szCs w:val="20"/>
          <w:lang w:val="en-US" w:eastAsia="zh-CN"/>
        </w:rPr>
      </w:pPr>
      <w:r>
        <w:rPr>
          <w:rFonts w:hint="eastAsia"/>
          <w:b/>
          <w:bCs/>
          <w:i/>
          <w:iCs/>
          <w:sz w:val="20"/>
          <w:szCs w:val="20"/>
          <w:lang w:val="en-US" w:eastAsia="zh-CN"/>
        </w:rPr>
        <w:t>Proposal 2: For ATG BS demodulation requirements, if BS supports multiple TDD UL-DL patterns including new TDD pattern 30D4S6U, only the supported TDD UL-DL pattern 30D4S6U shall be used for all tests.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R4-230</w:t>
      </w:r>
      <w:r>
        <w:rPr>
          <w:rFonts w:hint="eastAsia"/>
          <w:sz w:val="20"/>
          <w:szCs w:val="20"/>
          <w:lang w:val="en-US" w:eastAsia="zh-CN"/>
        </w:rPr>
        <w:t>9796</w:t>
      </w:r>
      <w:r>
        <w:rPr>
          <w:sz w:val="20"/>
          <w:szCs w:val="20"/>
          <w:lang w:val="en-GB"/>
        </w:rPr>
        <w:t>, WF for ATG demodulation requirements,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A21"/>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235"/>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4D3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6E5"/>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5E4"/>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9A"/>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35C"/>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B24"/>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A99"/>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6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03"/>
    <w:rsid w:val="0047543A"/>
    <w:rsid w:val="00475F10"/>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0C34"/>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11B"/>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DE1"/>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5C9"/>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55"/>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351"/>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132"/>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AD1"/>
    <w:rsid w:val="00825B3D"/>
    <w:rsid w:val="00825C36"/>
    <w:rsid w:val="00826A48"/>
    <w:rsid w:val="00826E8B"/>
    <w:rsid w:val="008276A0"/>
    <w:rsid w:val="00827827"/>
    <w:rsid w:val="00827841"/>
    <w:rsid w:val="00827DE6"/>
    <w:rsid w:val="00830DB5"/>
    <w:rsid w:val="00830EB0"/>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517"/>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74B"/>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83"/>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037"/>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64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1C3"/>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F8D"/>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2D9"/>
    <w:rsid w:val="00B74D24"/>
    <w:rsid w:val="00B76449"/>
    <w:rsid w:val="00B76744"/>
    <w:rsid w:val="00B76E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03A2"/>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10A"/>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80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3CD"/>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66F"/>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88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4FDB"/>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015"/>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DDC"/>
    <w:rsid w:val="00DD4EC2"/>
    <w:rsid w:val="00DD512A"/>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940"/>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539"/>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0B1"/>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24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3D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35A"/>
    <w:rsid w:val="00F505E1"/>
    <w:rsid w:val="00F5129E"/>
    <w:rsid w:val="00F51B63"/>
    <w:rsid w:val="00F531AA"/>
    <w:rsid w:val="00F533A1"/>
    <w:rsid w:val="00F53BA7"/>
    <w:rsid w:val="00F549B4"/>
    <w:rsid w:val="00F54EC5"/>
    <w:rsid w:val="00F55BB7"/>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52A"/>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A67"/>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9922E69"/>
    <w:rsid w:val="19DD326B"/>
    <w:rsid w:val="1E6076C2"/>
    <w:rsid w:val="202D5064"/>
    <w:rsid w:val="227C484A"/>
    <w:rsid w:val="26EE1A82"/>
    <w:rsid w:val="2FE712CE"/>
    <w:rsid w:val="3E2171FA"/>
    <w:rsid w:val="471516A5"/>
    <w:rsid w:val="597D2BBF"/>
    <w:rsid w:val="5DDF7413"/>
    <w:rsid w:val="618B28B5"/>
    <w:rsid w:val="625E5F28"/>
    <w:rsid w:val="758D2E3E"/>
    <w:rsid w:val="7E7E4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376</Words>
  <Characters>2144</Characters>
  <Lines>17</Lines>
  <Paragraphs>5</Paragraphs>
  <TotalTime>1</TotalTime>
  <ScaleCrop>false</ScaleCrop>
  <LinksUpToDate>false</LinksUpToDate>
  <CharactersWithSpaces>2515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2023-08-11T07:38:22Z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FE02B45C6AE14E10AFEBA7DA82DA38DA</vt:lpwstr>
  </property>
</Properties>
</file>